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71" w:rsidRDefault="009606D2">
      <w:pPr>
        <w:spacing w:after="200" w:line="240" w:lineRule="auto"/>
        <w:ind w:right="-1"/>
        <w:rPr>
          <w:rFonts w:ascii="Arial" w:eastAsia="Arial" w:hAnsi="Arial" w:cs="Arial"/>
          <w:b/>
          <w:i/>
          <w:sz w:val="24"/>
          <w:u w:val="single"/>
        </w:rPr>
      </w:pPr>
      <w:r>
        <w:object w:dxaOrig="1509" w:dyaOrig="1788">
          <v:rect id="rectole0000000000" o:spid="_x0000_i1025" style="width:75.75pt;height:89.25pt" o:ole="" o:preferrelative="t" stroked="f">
            <v:imagedata r:id="rId5" o:title=""/>
          </v:rect>
          <o:OLEObject Type="Embed" ProgID="StaticMetafile" ShapeID="rectole0000000000" DrawAspect="Content" ObjectID="_1581925458" r:id="rId6"/>
        </w:object>
      </w:r>
      <w:r>
        <w:rPr>
          <w:rFonts w:ascii="Arial" w:eastAsia="Arial" w:hAnsi="Arial" w:cs="Arial"/>
          <w:b/>
          <w:i/>
          <w:sz w:val="24"/>
          <w:u w:val="single"/>
        </w:rPr>
        <w:t xml:space="preserve">                      </w:t>
      </w:r>
    </w:p>
    <w:p w:rsidR="000B6671" w:rsidRDefault="009606D2">
      <w:pPr>
        <w:spacing w:after="200" w:line="240" w:lineRule="auto"/>
        <w:ind w:right="-1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Buenos Aires,15 de </w:t>
      </w:r>
      <w:proofErr w:type="gramStart"/>
      <w:r>
        <w:rPr>
          <w:rFonts w:ascii="Arial" w:eastAsia="Arial" w:hAnsi="Arial" w:cs="Arial"/>
          <w:i/>
          <w:sz w:val="24"/>
        </w:rPr>
        <w:t>Diciembre</w:t>
      </w:r>
      <w:proofErr w:type="gramEnd"/>
      <w:r>
        <w:rPr>
          <w:rFonts w:ascii="Arial" w:eastAsia="Arial" w:hAnsi="Arial" w:cs="Arial"/>
          <w:i/>
          <w:sz w:val="24"/>
        </w:rPr>
        <w:t xml:space="preserve"> de 2017                                              </w:t>
      </w:r>
    </w:p>
    <w:p w:rsidR="000B6671" w:rsidRDefault="009606D2">
      <w:pPr>
        <w:spacing w:after="200" w:line="240" w:lineRule="auto"/>
        <w:ind w:right="-1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b/>
          <w:i/>
          <w:sz w:val="24"/>
          <w:u w:val="single"/>
        </w:rPr>
        <w:t xml:space="preserve">     </w:t>
      </w:r>
    </w:p>
    <w:p w:rsidR="000B6671" w:rsidRDefault="009606D2">
      <w:pPr>
        <w:spacing w:after="200" w:line="240" w:lineRule="auto"/>
        <w:ind w:right="-1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b/>
          <w:i/>
          <w:sz w:val="24"/>
          <w:u w:val="single"/>
        </w:rPr>
        <w:t>CONDICIONES PARA CARBAP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1 – Personas alcanzadas por el beneficio:</w:t>
      </w:r>
    </w:p>
    <w:p w:rsidR="000B6671" w:rsidRDefault="009606D2">
      <w:pPr>
        <w:numPr>
          <w:ilvl w:val="0"/>
          <w:numId w:val="1"/>
        </w:numPr>
        <w:spacing w:after="0" w:line="240" w:lineRule="auto"/>
        <w:ind w:left="1080" w:right="-1" w:hanging="360"/>
        <w:jc w:val="both"/>
        <w:rPr>
          <w:rFonts w:ascii="Arial" w:eastAsia="Arial" w:hAnsi="Arial" w:cs="Arial"/>
          <w:b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i/>
          <w:color w:val="FF0000"/>
          <w:sz w:val="24"/>
          <w:u w:val="single"/>
        </w:rPr>
        <w:t>AFILIADOS A CARBAP</w:t>
      </w:r>
    </w:p>
    <w:p w:rsidR="000B6671" w:rsidRDefault="000B6671">
      <w:pPr>
        <w:spacing w:after="0" w:line="24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color w:val="FF0000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En todos los casos, la unidad deberá salir facturada a nombre del solicitante </w:t>
      </w:r>
      <w:r w:rsidR="00EE63F3">
        <w:rPr>
          <w:rFonts w:ascii="Arial" w:eastAsia="Arial" w:hAnsi="Arial" w:cs="Arial"/>
          <w:i/>
          <w:color w:val="FF0000"/>
          <w:sz w:val="24"/>
        </w:rPr>
        <w:t>(persona</w:t>
      </w:r>
      <w:r>
        <w:rPr>
          <w:rFonts w:ascii="Arial" w:eastAsia="Arial" w:hAnsi="Arial" w:cs="Arial"/>
          <w:i/>
          <w:color w:val="FF0000"/>
          <w:sz w:val="24"/>
        </w:rPr>
        <w:t xml:space="preserve"> física o </w:t>
      </w:r>
      <w:r w:rsidR="00EE63F3">
        <w:rPr>
          <w:rFonts w:ascii="Arial" w:eastAsia="Arial" w:hAnsi="Arial" w:cs="Arial"/>
          <w:i/>
          <w:color w:val="FF0000"/>
          <w:sz w:val="24"/>
        </w:rPr>
        <w:t>empresa)</w:t>
      </w:r>
      <w:r>
        <w:rPr>
          <w:rFonts w:ascii="Arial" w:eastAsia="Arial" w:hAnsi="Arial" w:cs="Arial"/>
          <w:i/>
          <w:color w:val="FF0000"/>
          <w:sz w:val="24"/>
        </w:rPr>
        <w:t>. El solicitante de ningún modo podrá ceder o transferir este beneficio a Terceros no contemplados en la presente.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color w:val="FF0000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La solicitud de compra de unidad deberá ser acompañada de nota emitida por CARBAP, con firma de la/las personas que CARBAP autorice certificando su </w:t>
      </w:r>
      <w:r w:rsidR="00EE63F3">
        <w:rPr>
          <w:rFonts w:ascii="Arial" w:eastAsia="Arial" w:hAnsi="Arial" w:cs="Arial"/>
          <w:i/>
          <w:color w:val="FF0000"/>
          <w:sz w:val="24"/>
        </w:rPr>
        <w:t>afiliación.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color w:val="FF0000"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2 – Vehículos alcanzados por el beneficio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La gama de vehículos será informada por Nissan Argentina S.A. al inicio de cada mes junto con la lista de precios. La confirmación de la disponibilidad del </w:t>
      </w:r>
      <w:proofErr w:type="spellStart"/>
      <w:r>
        <w:rPr>
          <w:rFonts w:ascii="Arial" w:eastAsia="Arial" w:hAnsi="Arial" w:cs="Arial"/>
          <w:i/>
          <w:sz w:val="24"/>
        </w:rPr>
        <w:t>vehiculo</w:t>
      </w:r>
      <w:proofErr w:type="spellEnd"/>
      <w:r>
        <w:rPr>
          <w:rFonts w:ascii="Arial" w:eastAsia="Arial" w:hAnsi="Arial" w:cs="Arial"/>
          <w:i/>
          <w:sz w:val="24"/>
        </w:rPr>
        <w:t xml:space="preserve"> se realizará contra el envío de la grilla de datos.</w:t>
      </w:r>
    </w:p>
    <w:p w:rsidR="000B6671" w:rsidRDefault="009606D2">
      <w:pPr>
        <w:spacing w:after="200" w:line="240" w:lineRule="auto"/>
        <w:ind w:right="-1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3- Beneficios otorgados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A todas las personas/</w:t>
      </w:r>
      <w:r w:rsidR="00EE63F3">
        <w:rPr>
          <w:rFonts w:ascii="Arial" w:eastAsia="Arial" w:hAnsi="Arial" w:cs="Arial"/>
          <w:i/>
          <w:sz w:val="24"/>
        </w:rPr>
        <w:t>empresas expresadas</w:t>
      </w:r>
      <w:r>
        <w:rPr>
          <w:rFonts w:ascii="Arial" w:eastAsia="Arial" w:hAnsi="Arial" w:cs="Arial"/>
          <w:i/>
          <w:sz w:val="24"/>
        </w:rPr>
        <w:t xml:space="preserve"> en el punto uno, se les otorga una venta directa de Nissan, con los beneficios detallados a continuación:</w:t>
      </w:r>
    </w:p>
    <w:p w:rsidR="000B6671" w:rsidRDefault="009606D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right="-1" w:hanging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  <w:u w:val="single"/>
        </w:rPr>
        <w:t>Descuento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</w:rPr>
        <w:t xml:space="preserve">del </w:t>
      </w:r>
      <w:r>
        <w:rPr>
          <w:rFonts w:ascii="Arial" w:eastAsia="Arial" w:hAnsi="Arial" w:cs="Arial"/>
          <w:b/>
          <w:i/>
          <w:sz w:val="24"/>
        </w:rPr>
        <w:t>9,5%</w:t>
      </w:r>
      <w:r>
        <w:rPr>
          <w:rFonts w:ascii="Arial" w:eastAsia="Arial" w:hAnsi="Arial" w:cs="Arial"/>
          <w:b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sobre el precio de lista</w:t>
      </w:r>
    </w:p>
    <w:p w:rsidR="000B6671" w:rsidRDefault="009606D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right="-1" w:hanging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Flete de la unidad hasta el lugar de entrega de la misma, </w:t>
      </w:r>
      <w:r>
        <w:rPr>
          <w:rFonts w:ascii="Arial" w:eastAsia="Arial" w:hAnsi="Arial" w:cs="Arial"/>
          <w:b/>
          <w:i/>
          <w:sz w:val="24"/>
          <w:u w:val="single"/>
        </w:rPr>
        <w:t xml:space="preserve">bonificado </w:t>
      </w:r>
      <w:r>
        <w:rPr>
          <w:rFonts w:ascii="Arial" w:eastAsia="Arial" w:hAnsi="Arial" w:cs="Arial"/>
          <w:b/>
          <w:i/>
          <w:color w:val="000000"/>
          <w:sz w:val="24"/>
          <w:u w:val="single"/>
        </w:rPr>
        <w:t>50%</w:t>
      </w:r>
    </w:p>
    <w:p w:rsidR="000B6671" w:rsidRDefault="009606D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right="-1" w:hanging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Formularos 01 y 12, </w:t>
      </w:r>
      <w:r>
        <w:rPr>
          <w:rFonts w:ascii="Arial" w:eastAsia="Arial" w:hAnsi="Arial" w:cs="Arial"/>
          <w:b/>
          <w:i/>
          <w:sz w:val="24"/>
          <w:u w:val="single"/>
        </w:rPr>
        <w:t>bonificados</w:t>
      </w:r>
    </w:p>
    <w:p w:rsidR="000B6671" w:rsidRDefault="009606D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right="-1" w:hanging="36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Preparación previa entrega de la unidad adquirida, </w:t>
      </w:r>
      <w:r>
        <w:rPr>
          <w:rFonts w:ascii="Arial" w:eastAsia="Arial" w:hAnsi="Arial" w:cs="Arial"/>
          <w:b/>
          <w:i/>
          <w:sz w:val="24"/>
          <w:u w:val="single"/>
        </w:rPr>
        <w:t>bonificada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Los descuentos son de revisión mensual, pudiendo ser modificados por Nissan Argentina S.A. sin previo aviso.</w:t>
      </w:r>
    </w:p>
    <w:p w:rsidR="000B6671" w:rsidRDefault="009606D2">
      <w:pPr>
        <w:spacing w:after="12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lastRenderedPageBreak/>
        <w:t>Los precios incluirán IVA, pero no incluirán el costo del patentamiento ni la patente 00 (alta). Dicho trámite corre por cuenta del cliente.</w:t>
      </w:r>
    </w:p>
    <w:p w:rsidR="000B6671" w:rsidRDefault="000B6671">
      <w:pPr>
        <w:spacing w:after="120" w:line="240" w:lineRule="auto"/>
        <w:jc w:val="both"/>
        <w:rPr>
          <w:rFonts w:ascii="Arial" w:eastAsia="Arial" w:hAnsi="Arial" w:cs="Arial"/>
          <w:i/>
          <w:sz w:val="24"/>
        </w:rPr>
      </w:pPr>
    </w:p>
    <w:p w:rsidR="000B6671" w:rsidRDefault="009606D2">
      <w:pPr>
        <w:spacing w:after="12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4- Lista de precios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color w:val="FF0000"/>
          <w:sz w:val="24"/>
        </w:rPr>
      </w:pPr>
      <w:r>
        <w:rPr>
          <w:rFonts w:ascii="Arial" w:eastAsia="Arial" w:hAnsi="Arial" w:cs="Arial"/>
          <w:i/>
          <w:sz w:val="24"/>
        </w:rPr>
        <w:t xml:space="preserve">Las listas de precios son de vigencia mensual (mes calendario) </w:t>
      </w:r>
      <w:r>
        <w:rPr>
          <w:rFonts w:ascii="Arial" w:eastAsia="Arial" w:hAnsi="Arial" w:cs="Arial"/>
          <w:i/>
          <w:color w:val="000000"/>
          <w:sz w:val="24"/>
        </w:rPr>
        <w:t xml:space="preserve">y </w:t>
      </w:r>
      <w:r>
        <w:rPr>
          <w:rFonts w:ascii="Arial" w:eastAsia="Arial" w:hAnsi="Arial" w:cs="Arial"/>
          <w:i/>
          <w:sz w:val="24"/>
        </w:rPr>
        <w:t>en pesos argentinos</w:t>
      </w:r>
      <w:r>
        <w:rPr>
          <w:rFonts w:ascii="Arial" w:eastAsia="Arial" w:hAnsi="Arial" w:cs="Arial"/>
          <w:i/>
          <w:color w:val="000000"/>
          <w:sz w:val="24"/>
        </w:rPr>
        <w:t>,</w:t>
      </w:r>
      <w:r>
        <w:rPr>
          <w:rFonts w:ascii="Arial" w:eastAsia="Arial" w:hAnsi="Arial" w:cs="Arial"/>
          <w:i/>
          <w:sz w:val="24"/>
        </w:rPr>
        <w:t xml:space="preserve"> razón por la cual Nissan fijará, a principio de cada mes, la política de precios de sus productos para el mes en curso.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color w:val="0070C0"/>
          <w:sz w:val="24"/>
        </w:rPr>
      </w:pPr>
      <w:r>
        <w:rPr>
          <w:rFonts w:ascii="Arial" w:eastAsia="Arial" w:hAnsi="Arial" w:cs="Arial"/>
          <w:i/>
          <w:sz w:val="24"/>
        </w:rPr>
        <w:t xml:space="preserve">Se enviará mensualmente lista de precios vigente y de no contar con la misma podrán consultar al mail </w:t>
      </w:r>
      <w:hyperlink r:id="rId7">
        <w:r>
          <w:rPr>
            <w:rFonts w:ascii="Arial" w:eastAsia="Arial" w:hAnsi="Arial" w:cs="Arial"/>
            <w:b/>
            <w:i/>
            <w:color w:val="0563C1"/>
            <w:u w:val="single"/>
          </w:rPr>
          <w:t>ventas.especiales@nissan.com.ar</w:t>
        </w:r>
      </w:hyperlink>
      <w:r>
        <w:rPr>
          <w:rFonts w:ascii="Arial" w:eastAsia="Arial" w:hAnsi="Arial" w:cs="Arial"/>
          <w:b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i/>
          <w:color w:val="0070C0"/>
          <w:sz w:val="24"/>
        </w:rPr>
        <w:t>o en nuestra red oficial de concesionarios.</w:t>
      </w:r>
      <w:r>
        <w:rPr>
          <w:rFonts w:ascii="Arial" w:eastAsia="Arial" w:hAnsi="Arial" w:cs="Arial"/>
          <w:i/>
          <w:color w:val="0070C0"/>
          <w:sz w:val="24"/>
        </w:rPr>
        <w:t xml:space="preserve"> 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Con motivo de consultar la disponibilidad de cada unidad, el AFILIADO interesado, podrá </w:t>
      </w:r>
      <w:proofErr w:type="gramStart"/>
      <w:r>
        <w:rPr>
          <w:rFonts w:ascii="Arial" w:eastAsia="Arial" w:hAnsi="Arial" w:cs="Arial"/>
          <w:i/>
          <w:sz w:val="24"/>
        </w:rPr>
        <w:t>consultar  en</w:t>
      </w:r>
      <w:proofErr w:type="gramEnd"/>
      <w:r>
        <w:rPr>
          <w:rFonts w:ascii="Arial" w:eastAsia="Arial" w:hAnsi="Arial" w:cs="Arial"/>
          <w:i/>
          <w:sz w:val="24"/>
        </w:rPr>
        <w:t xml:space="preserve"> nuestro mail </w:t>
      </w:r>
      <w:hyperlink r:id="rId8">
        <w:r>
          <w:rPr>
            <w:rFonts w:ascii="Arial" w:eastAsia="Arial" w:hAnsi="Arial" w:cs="Arial"/>
            <w:b/>
            <w:i/>
            <w:color w:val="0563C1"/>
            <w:u w:val="single"/>
          </w:rPr>
          <w:t>ventas.especiales@nissan.com.ar</w:t>
        </w:r>
      </w:hyperlink>
      <w:r>
        <w:rPr>
          <w:rFonts w:ascii="Arial" w:eastAsia="Arial" w:hAnsi="Arial" w:cs="Arial"/>
          <w:b/>
          <w:i/>
          <w:color w:val="0563C1"/>
          <w:u w:val="single"/>
        </w:rPr>
        <w:t xml:space="preserve"> o en nuestra red oficial de concesionarios.</w:t>
      </w:r>
      <w:r>
        <w:rPr>
          <w:rFonts w:ascii="Arial" w:eastAsia="Arial" w:hAnsi="Arial" w:cs="Arial"/>
          <w:i/>
          <w:sz w:val="24"/>
        </w:rPr>
        <w:t xml:space="preserve">. El precio definitivo será comunicado por Nissan Argentina S.A. de acuerdo con lo establecido en el mecanismo operativo descripto en el punto 7 de la presente.  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5 GARANTÍA DE LOS VEHÍCULOS:</w:t>
      </w:r>
      <w:r>
        <w:rPr>
          <w:rFonts w:ascii="Arial" w:eastAsia="Arial" w:hAnsi="Arial" w:cs="Arial"/>
          <w:i/>
          <w:sz w:val="24"/>
        </w:rPr>
        <w:t xml:space="preserve"> Estas unidades están garantizadas contra defectos en el material y la mano de obra: 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sz w:val="24"/>
        </w:rPr>
        <w:t xml:space="preserve">5.1. </w:t>
      </w:r>
      <w:r>
        <w:rPr>
          <w:rFonts w:ascii="Arial" w:eastAsia="Arial" w:hAnsi="Arial" w:cs="Arial"/>
          <w:i/>
          <w:sz w:val="24"/>
        </w:rPr>
        <w:t xml:space="preserve">Vehículos Nissan: </w:t>
      </w:r>
      <w:r>
        <w:rPr>
          <w:rFonts w:ascii="Arial" w:eastAsia="Arial" w:hAnsi="Arial" w:cs="Arial"/>
          <w:b/>
          <w:i/>
          <w:sz w:val="24"/>
        </w:rPr>
        <w:t>treinta y seis (36) meses o 100.000 Km</w:t>
      </w:r>
      <w:r>
        <w:rPr>
          <w:rFonts w:ascii="Arial" w:eastAsia="Arial" w:hAnsi="Arial" w:cs="Arial"/>
          <w:i/>
          <w:sz w:val="24"/>
        </w:rPr>
        <w:t>, lo que ocurra primero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:rsidR="000B6671" w:rsidRDefault="009606D2">
      <w:pPr>
        <w:spacing w:after="0" w:line="24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Nuestra Empresa tiene a vuestra disposición Centros de Servicios establecidos en todo el país, altamente especializados para dar servicio y atención mecánica, como así también proveer repuestos para las unidades ofrecidas.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6. CONDICIONES DE PAGO:</w:t>
      </w:r>
      <w:r>
        <w:rPr>
          <w:rFonts w:ascii="Arial" w:eastAsia="Arial" w:hAnsi="Arial" w:cs="Arial"/>
          <w:i/>
          <w:sz w:val="24"/>
        </w:rPr>
        <w:t xml:space="preserve"> contado o financiado 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18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7. CIRCUITO OPERATIVO: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18"/>
        </w:rPr>
      </w:pPr>
    </w:p>
    <w:p w:rsidR="000B6671" w:rsidRDefault="009606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Nissan enviará, a persona a destinar por CARBAP, la lista de precios vigente para el mes en curso. </w:t>
      </w:r>
    </w:p>
    <w:p w:rsidR="000B6671" w:rsidRDefault="009606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El interesado alcanzado por el beneficio expresado en el punto 1, deberá solicitar el vehículo Nissan de su interés a la casilla de mail </w:t>
      </w:r>
      <w:hyperlink r:id="rId9">
        <w:r>
          <w:rPr>
            <w:rFonts w:ascii="Arial" w:eastAsia="Arial" w:hAnsi="Arial" w:cs="Arial"/>
            <w:b/>
            <w:i/>
            <w:color w:val="000000"/>
            <w:u w:val="single"/>
          </w:rPr>
          <w:t>ventas.especiales@nissan.com.ar</w:t>
        </w:r>
      </w:hyperlink>
      <w:r>
        <w:rPr>
          <w:rFonts w:ascii="Arial" w:eastAsia="Arial" w:hAnsi="Arial" w:cs="Arial"/>
          <w:i/>
          <w:color w:val="000000"/>
          <w:sz w:val="24"/>
        </w:rPr>
        <w:t>, haciendo mención a su beneficio preferencial de AFILIADO o acercándose a un concesionario de la red oficial de Nissan Argentina</w:t>
      </w:r>
    </w:p>
    <w:p w:rsidR="000B6671" w:rsidRDefault="009606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Nissan o el Concesionario </w:t>
      </w:r>
      <w:r>
        <w:rPr>
          <w:rFonts w:ascii="Arial" w:eastAsia="Arial" w:hAnsi="Arial" w:cs="Arial"/>
          <w:i/>
          <w:color w:val="000000"/>
          <w:sz w:val="24"/>
          <w:u w:val="single"/>
        </w:rPr>
        <w:t>le confirmará</w:t>
      </w:r>
      <w:r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la disponibilidad y el precio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</w:rPr>
        <w:t xml:space="preserve">de la unidad, contemplando el descuento preferencial, e informando a su vez </w:t>
      </w:r>
      <w:r>
        <w:rPr>
          <w:rFonts w:ascii="Arial" w:eastAsia="Arial" w:hAnsi="Arial" w:cs="Arial"/>
          <w:i/>
          <w:color w:val="000000"/>
          <w:sz w:val="24"/>
        </w:rPr>
        <w:lastRenderedPageBreak/>
        <w:t>modelos y colores disponibles, y el tiempo estimado de entrega del vehículo</w:t>
      </w:r>
    </w:p>
    <w:p w:rsidR="000B6671" w:rsidRDefault="009606D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En el caso querer realizar la compra de la unidad, el interesado deberá enviar mail manifestando su voluntad de compra, y enviar:</w:t>
      </w:r>
    </w:p>
    <w:p w:rsidR="000B6671" w:rsidRDefault="000B6671">
      <w:pPr>
        <w:spacing w:after="0" w:line="240" w:lineRule="auto"/>
        <w:ind w:left="720" w:right="-1"/>
        <w:jc w:val="both"/>
        <w:rPr>
          <w:rFonts w:ascii="Arial" w:eastAsia="Arial" w:hAnsi="Arial" w:cs="Arial"/>
          <w:i/>
          <w:color w:val="000000"/>
          <w:sz w:val="24"/>
        </w:rPr>
      </w:pP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:rsidR="000B6671" w:rsidRDefault="009606D2">
      <w:pPr>
        <w:numPr>
          <w:ilvl w:val="0"/>
          <w:numId w:val="4"/>
        </w:numPr>
        <w:tabs>
          <w:tab w:val="left" w:pos="1070"/>
        </w:tabs>
        <w:spacing w:after="0" w:line="240" w:lineRule="auto"/>
        <w:ind w:left="107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sz w:val="24"/>
        </w:rPr>
        <w:t>Versión, modelo y color (2 opciones) solicitado</w:t>
      </w:r>
    </w:p>
    <w:p w:rsidR="000B6671" w:rsidRDefault="009606D2">
      <w:pPr>
        <w:numPr>
          <w:ilvl w:val="0"/>
          <w:numId w:val="4"/>
        </w:numPr>
        <w:tabs>
          <w:tab w:val="left" w:pos="1070"/>
        </w:tabs>
        <w:spacing w:after="0" w:line="240" w:lineRule="auto"/>
        <w:ind w:left="107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Grilla completa de datos</w:t>
      </w:r>
    </w:p>
    <w:p w:rsidR="000B6671" w:rsidRDefault="009606D2">
      <w:pPr>
        <w:numPr>
          <w:ilvl w:val="0"/>
          <w:numId w:val="4"/>
        </w:numPr>
        <w:tabs>
          <w:tab w:val="left" w:pos="1070"/>
        </w:tabs>
        <w:spacing w:after="0" w:line="240" w:lineRule="auto"/>
        <w:ind w:left="107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El pedido deberá estar acompañado de nota emitida por CARBAP certificando afiliación.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color w:val="000000"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A </w:t>
      </w:r>
      <w:r w:rsidR="00EE63F3">
        <w:rPr>
          <w:rFonts w:ascii="Arial" w:eastAsia="Arial" w:hAnsi="Arial" w:cs="Arial"/>
          <w:i/>
          <w:color w:val="000000"/>
          <w:sz w:val="24"/>
        </w:rPr>
        <w:t>continuación:</w:t>
      </w:r>
    </w:p>
    <w:p w:rsidR="000B6671" w:rsidRDefault="009606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Nissan o el Concesionario procederá a brindar al interesado instrucciones para el pago de la unidad en caso facturar.</w:t>
      </w:r>
    </w:p>
    <w:p w:rsidR="000B6671" w:rsidRDefault="009606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Una vez abonada la unidad en su totalidad en las cuentas de NISSAN Argentina S.A., el afiliado deberá enviar a la casilla de mail </w:t>
      </w:r>
      <w:hyperlink r:id="rId10">
        <w:r>
          <w:rPr>
            <w:rFonts w:ascii="Arial" w:eastAsia="Arial" w:hAnsi="Arial" w:cs="Arial"/>
            <w:b/>
            <w:i/>
            <w:color w:val="000000"/>
            <w:u w:val="single"/>
          </w:rPr>
          <w:t>ventas.especiales@nissan.com.ar</w:t>
        </w:r>
      </w:hyperlink>
      <w:r>
        <w:rPr>
          <w:rFonts w:ascii="Arial" w:eastAsia="Arial" w:hAnsi="Arial" w:cs="Arial"/>
          <w:b/>
          <w:i/>
          <w:color w:val="000000"/>
          <w:u w:val="single"/>
        </w:rPr>
        <w:t xml:space="preserve">  y al concesionario </w:t>
      </w:r>
      <w:r>
        <w:rPr>
          <w:rFonts w:ascii="Arial" w:eastAsia="Arial" w:hAnsi="Arial" w:cs="Arial"/>
          <w:i/>
          <w:color w:val="000000"/>
          <w:sz w:val="24"/>
        </w:rPr>
        <w:t>el comprobante de depósito o transferencia (</w:t>
      </w:r>
      <w:r>
        <w:rPr>
          <w:rFonts w:ascii="Arial" w:eastAsia="Arial" w:hAnsi="Arial" w:cs="Arial"/>
          <w:b/>
          <w:i/>
          <w:color w:val="000000"/>
          <w:sz w:val="24"/>
        </w:rPr>
        <w:t xml:space="preserve">deberá ser indefectiblemente desde una cuenta del titular de la unidad) </w:t>
      </w:r>
    </w:p>
    <w:p w:rsidR="000B6671" w:rsidRDefault="009606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La operación se facturará una vez que el dinero esté efectivamente acreditado en la cuenta de Nissan, y dentro de las 96 hs se enviará al Concesionario elegido para el retiro de la unidad, la documentación del vehículo.</w:t>
      </w:r>
    </w:p>
    <w:p w:rsidR="000B6671" w:rsidRDefault="009606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 xml:space="preserve">Plazo de entrega de los </w:t>
      </w:r>
      <w:r w:rsidR="00EE63F3">
        <w:rPr>
          <w:rFonts w:ascii="Arial" w:eastAsia="Arial" w:hAnsi="Arial" w:cs="Arial"/>
          <w:i/>
          <w:color w:val="000000"/>
          <w:sz w:val="24"/>
        </w:rPr>
        <w:t>vehículos:</w:t>
      </w:r>
      <w:r>
        <w:rPr>
          <w:rFonts w:ascii="Arial" w:eastAsia="Arial" w:hAnsi="Arial" w:cs="Arial"/>
          <w:i/>
          <w:color w:val="000000"/>
          <w:sz w:val="24"/>
        </w:rPr>
        <w:t xml:space="preserve"> dentro de los 30 días de abonado el vehículo.</w:t>
      </w:r>
    </w:p>
    <w:p w:rsidR="000B6671" w:rsidRDefault="009606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El patentamiento corre por cuenta exclusiva del afiliado</w:t>
      </w:r>
    </w:p>
    <w:p w:rsidR="000B6671" w:rsidRDefault="009606D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-1" w:hanging="360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La entrega de la unidad se realizará en el Agente/Concesionario elegido por el cliente. El transporte del vehículo al lugar se solicitará una vez realizado el pago de la misma.</w:t>
      </w:r>
    </w:p>
    <w:p w:rsidR="000B6671" w:rsidRDefault="000B6671">
      <w:pPr>
        <w:spacing w:after="200" w:line="240" w:lineRule="auto"/>
        <w:ind w:right="-1"/>
        <w:jc w:val="both"/>
        <w:rPr>
          <w:rFonts w:ascii="Arial" w:eastAsia="Arial" w:hAnsi="Arial" w:cs="Arial"/>
          <w:i/>
          <w:color w:val="000000"/>
          <w:sz w:val="24"/>
        </w:rPr>
      </w:pP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8. Vigencia de la propuesta: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La presente propuesta es válida hasta el </w:t>
      </w:r>
      <w:r>
        <w:rPr>
          <w:rFonts w:ascii="Arial" w:eastAsia="Arial" w:hAnsi="Arial" w:cs="Arial"/>
          <w:b/>
          <w:i/>
          <w:sz w:val="24"/>
        </w:rPr>
        <w:t>31/12/2018.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Vencido el plazo de validez de la propuesta Nissan Argentina S.A. analizará la renovación o no de la misma.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Las listas de precios y los descuentos sobre el precio de lista son pasibles de modificación mensual. </w:t>
      </w:r>
    </w:p>
    <w:p w:rsidR="000B6671" w:rsidRDefault="009606D2">
      <w:pPr>
        <w:spacing w:after="200" w:line="240" w:lineRule="auto"/>
        <w:ind w:right="-1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Atte.</w:t>
      </w:r>
    </w:p>
    <w:p w:rsidR="000B6671" w:rsidRDefault="009606D2">
      <w:pPr>
        <w:spacing w:after="200" w:line="240" w:lineRule="auto"/>
        <w:ind w:right="-1"/>
        <w:jc w:val="center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 xml:space="preserve">Walter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</w:rPr>
        <w:t>P</w:t>
      </w:r>
      <w:bookmarkStart w:id="0" w:name="_GoBack"/>
      <w:bookmarkEnd w:id="0"/>
      <w:r>
        <w:rPr>
          <w:rFonts w:ascii="Arial" w:eastAsia="Arial" w:hAnsi="Arial" w:cs="Arial"/>
          <w:b/>
          <w:i/>
          <w:color w:val="000000"/>
          <w:sz w:val="24"/>
        </w:rPr>
        <w:t>rosdocimo</w:t>
      </w:r>
      <w:proofErr w:type="spellEnd"/>
    </w:p>
    <w:p w:rsidR="000B6671" w:rsidRDefault="009606D2">
      <w:pPr>
        <w:spacing w:after="200" w:line="240" w:lineRule="auto"/>
        <w:ind w:right="-1"/>
        <w:jc w:val="center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GERENTE DE FLOTAS</w:t>
      </w:r>
    </w:p>
    <w:p w:rsidR="000B6671" w:rsidRDefault="009606D2">
      <w:pPr>
        <w:spacing w:after="200" w:line="240" w:lineRule="auto"/>
        <w:ind w:right="-1"/>
        <w:jc w:val="center"/>
        <w:rPr>
          <w:rFonts w:ascii="NissanAG-Light" w:eastAsia="NissanAG-Light" w:hAnsi="NissanAG-Light" w:cs="NissanAG-Light"/>
        </w:rPr>
      </w:pPr>
      <w:r>
        <w:rPr>
          <w:rFonts w:ascii="Arial" w:eastAsia="Arial" w:hAnsi="Arial" w:cs="Arial"/>
          <w:b/>
          <w:i/>
          <w:color w:val="000000"/>
          <w:sz w:val="24"/>
        </w:rPr>
        <w:t>NISSAN ARGENTINA S.A.</w:t>
      </w:r>
    </w:p>
    <w:p w:rsidR="000B6671" w:rsidRDefault="000B6671">
      <w:pPr>
        <w:spacing w:after="200" w:line="276" w:lineRule="auto"/>
        <w:rPr>
          <w:rFonts w:ascii="Calibri" w:eastAsia="Calibri" w:hAnsi="Calibri" w:cs="Calibri"/>
        </w:rPr>
      </w:pPr>
    </w:p>
    <w:sectPr w:rsidR="000B6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ssanAG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157C"/>
    <w:multiLevelType w:val="multilevel"/>
    <w:tmpl w:val="B4C8D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032342"/>
    <w:multiLevelType w:val="multilevel"/>
    <w:tmpl w:val="850CC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B6187"/>
    <w:multiLevelType w:val="multilevel"/>
    <w:tmpl w:val="7270C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A82796"/>
    <w:multiLevelType w:val="multilevel"/>
    <w:tmpl w:val="C174F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5D5A46"/>
    <w:multiLevelType w:val="multilevel"/>
    <w:tmpl w:val="E97E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1"/>
    <w:rsid w:val="000B6671"/>
    <w:rsid w:val="00203FD4"/>
    <w:rsid w:val="009606D2"/>
    <w:rsid w:val="00E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7D943D-4E76-4D8D-9815-708E0E8B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.especiales@nissan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as.especiales@nissan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entas.especiales@nissan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as.especiales@nissan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</dc:creator>
  <cp:lastModifiedBy>Gustavo del Puerto</cp:lastModifiedBy>
  <cp:revision>2</cp:revision>
  <cp:lastPrinted>2018-01-25T13:46:00Z</cp:lastPrinted>
  <dcterms:created xsi:type="dcterms:W3CDTF">2018-03-07T13:58:00Z</dcterms:created>
  <dcterms:modified xsi:type="dcterms:W3CDTF">2018-03-07T13:58:00Z</dcterms:modified>
</cp:coreProperties>
</file>